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EA" w:rsidRDefault="007630EA" w:rsidP="00A01512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0D34AE" w:rsidRPr="00501664" w:rsidRDefault="00501664" w:rsidP="007630EA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501664">
        <w:rPr>
          <w:rFonts w:cs="David" w:hint="cs"/>
          <w:b/>
          <w:bCs/>
          <w:sz w:val="36"/>
          <w:szCs w:val="36"/>
          <w:u w:val="single"/>
          <w:rtl/>
        </w:rPr>
        <w:t>דף מידע</w:t>
      </w:r>
    </w:p>
    <w:p w:rsidR="00A01512" w:rsidRDefault="007630EA" w:rsidP="007630EA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חופשה ללא תשלום </w:t>
      </w:r>
      <w:r>
        <w:rPr>
          <w:rFonts w:cs="David"/>
          <w:b/>
          <w:bCs/>
          <w:sz w:val="28"/>
          <w:szCs w:val="28"/>
          <w:u w:val="single"/>
          <w:rtl/>
        </w:rPr>
        <w:t>–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שמירת זכויות בקרנות הפנסיה</w:t>
      </w:r>
    </w:p>
    <w:p w:rsidR="005845B5" w:rsidRDefault="00A01512" w:rsidP="007630EA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על פי הנחיות משרד האוצר כאשר מופסקות הפרשות לקרן פנסיה מכל סיבה שהיא, קרן הפנסיה מחויבת ליידע את העמית על הפסקת תשלומים. </w:t>
      </w:r>
      <w:r w:rsidR="005845B5">
        <w:rPr>
          <w:rFonts w:cs="David" w:hint="cs"/>
          <w:sz w:val="24"/>
          <w:szCs w:val="24"/>
          <w:rtl/>
        </w:rPr>
        <w:t xml:space="preserve">לעמית נשלח מכתב שהתשלומים נפסקו. </w:t>
      </w:r>
      <w:r w:rsidR="0088104B">
        <w:rPr>
          <w:rFonts w:cs="David" w:hint="cs"/>
          <w:sz w:val="24"/>
          <w:szCs w:val="24"/>
          <w:rtl/>
        </w:rPr>
        <w:t>במקביל,</w:t>
      </w:r>
      <w:r w:rsidR="005845B5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העמית מתבקש לפנות למשרדי הקרן. </w:t>
      </w:r>
    </w:p>
    <w:p w:rsidR="007630EA" w:rsidRDefault="007630EA" w:rsidP="007630EA">
      <w:pPr>
        <w:spacing w:after="0" w:line="360" w:lineRule="auto"/>
        <w:rPr>
          <w:rFonts w:cs="David"/>
          <w:sz w:val="24"/>
          <w:szCs w:val="24"/>
          <w:rtl/>
        </w:rPr>
      </w:pPr>
    </w:p>
    <w:p w:rsidR="00A01512" w:rsidRDefault="00A01512" w:rsidP="00D92C44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מקרים של הפסקת תשלומים </w:t>
      </w:r>
      <w:r w:rsidR="0088104B">
        <w:rPr>
          <w:rFonts w:cs="David" w:hint="cs"/>
          <w:sz w:val="24"/>
          <w:szCs w:val="24"/>
          <w:rtl/>
        </w:rPr>
        <w:t>יכולים ל</w:t>
      </w:r>
      <w:r>
        <w:rPr>
          <w:rFonts w:cs="David" w:hint="cs"/>
          <w:sz w:val="24"/>
          <w:szCs w:val="24"/>
          <w:rtl/>
        </w:rPr>
        <w:t>ח</w:t>
      </w:r>
      <w:r w:rsidR="0088104B">
        <w:rPr>
          <w:rFonts w:cs="David" w:hint="cs"/>
          <w:sz w:val="24"/>
          <w:szCs w:val="24"/>
          <w:rtl/>
        </w:rPr>
        <w:t xml:space="preserve">ול </w:t>
      </w:r>
      <w:r>
        <w:rPr>
          <w:rFonts w:cs="David" w:hint="cs"/>
          <w:sz w:val="24"/>
          <w:szCs w:val="24"/>
          <w:rtl/>
        </w:rPr>
        <w:t xml:space="preserve">באירועים הבאים: הפסקת עבודה, יציאה לחל"ת, </w:t>
      </w:r>
      <w:r w:rsidR="005845B5">
        <w:rPr>
          <w:rFonts w:cs="David" w:hint="cs"/>
          <w:sz w:val="24"/>
          <w:szCs w:val="24"/>
          <w:rtl/>
        </w:rPr>
        <w:t>חל"ת</w:t>
      </w:r>
      <w:r>
        <w:rPr>
          <w:rFonts w:cs="David" w:hint="cs"/>
          <w:sz w:val="24"/>
          <w:szCs w:val="24"/>
          <w:rtl/>
        </w:rPr>
        <w:t xml:space="preserve"> ל</w:t>
      </w:r>
      <w:r w:rsidR="005845B5">
        <w:rPr>
          <w:rFonts w:cs="David" w:hint="cs"/>
          <w:sz w:val="24"/>
          <w:szCs w:val="24"/>
          <w:rtl/>
        </w:rPr>
        <w:t xml:space="preserve">אחר </w:t>
      </w:r>
      <w:r>
        <w:rPr>
          <w:rFonts w:cs="David" w:hint="cs"/>
          <w:sz w:val="24"/>
          <w:szCs w:val="24"/>
          <w:rtl/>
        </w:rPr>
        <w:t>חופשת לידה ועבודה לא רציפה.</w:t>
      </w:r>
    </w:p>
    <w:p w:rsidR="007630EA" w:rsidRDefault="007630EA" w:rsidP="007630EA">
      <w:pPr>
        <w:spacing w:after="0" w:line="360" w:lineRule="auto"/>
        <w:rPr>
          <w:rFonts w:cs="David"/>
          <w:sz w:val="24"/>
          <w:szCs w:val="24"/>
          <w:rtl/>
        </w:rPr>
      </w:pPr>
    </w:p>
    <w:p w:rsidR="0088104B" w:rsidRDefault="0088104B" w:rsidP="00D92C44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הטכניון ממליץ לעובדיו בעת הפסקת תשלומים לקרן הפנסיה, לפנות לנציגי הקרן אליה </w:t>
      </w:r>
      <w:r w:rsidR="00D92C44">
        <w:rPr>
          <w:rFonts w:cs="David" w:hint="cs"/>
          <w:sz w:val="24"/>
          <w:szCs w:val="24"/>
          <w:rtl/>
        </w:rPr>
        <w:t>העובד</w:t>
      </w:r>
      <w:r>
        <w:rPr>
          <w:rFonts w:cs="David" w:hint="cs"/>
          <w:sz w:val="24"/>
          <w:szCs w:val="24"/>
          <w:rtl/>
        </w:rPr>
        <w:t xml:space="preserve"> משתייך.</w:t>
      </w:r>
    </w:p>
    <w:p w:rsidR="007630EA" w:rsidRDefault="007630EA" w:rsidP="007630EA">
      <w:pPr>
        <w:spacing w:after="0" w:line="360" w:lineRule="auto"/>
        <w:rPr>
          <w:rFonts w:cs="David"/>
          <w:sz w:val="24"/>
          <w:szCs w:val="24"/>
          <w:rtl/>
        </w:rPr>
      </w:pPr>
    </w:p>
    <w:p w:rsidR="00A01512" w:rsidRPr="0088104B" w:rsidRDefault="00A01512" w:rsidP="007630EA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88104B">
        <w:rPr>
          <w:rFonts w:cs="David" w:hint="cs"/>
          <w:sz w:val="24"/>
          <w:szCs w:val="24"/>
          <w:u w:val="single"/>
          <w:rtl/>
        </w:rPr>
        <w:t>בפני העובד עומדות מספר אפשרויות</w:t>
      </w:r>
      <w:r w:rsidRPr="0088104B">
        <w:rPr>
          <w:rFonts w:cs="David" w:hint="cs"/>
          <w:sz w:val="24"/>
          <w:szCs w:val="24"/>
          <w:rtl/>
        </w:rPr>
        <w:t xml:space="preserve">: </w:t>
      </w:r>
    </w:p>
    <w:p w:rsidR="00A01512" w:rsidRDefault="00A01512" w:rsidP="007630EA">
      <w:pPr>
        <w:pStyle w:val="ListParagraph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במקרה של סיום העסקה יכול העובד להמשיך להפריש </w:t>
      </w:r>
      <w:r w:rsidR="0088104B">
        <w:rPr>
          <w:rFonts w:cs="David" w:hint="cs"/>
          <w:sz w:val="24"/>
          <w:szCs w:val="24"/>
          <w:rtl/>
        </w:rPr>
        <w:t xml:space="preserve">לקרן הפנסיה </w:t>
      </w:r>
      <w:r>
        <w:rPr>
          <w:rFonts w:cs="David" w:hint="cs"/>
          <w:sz w:val="24"/>
          <w:szCs w:val="24"/>
          <w:rtl/>
        </w:rPr>
        <w:t>דרך המעסיק החדש ועליו לבצע רצף הפקדות.</w:t>
      </w:r>
    </w:p>
    <w:p w:rsidR="00A01512" w:rsidRDefault="00A01512" w:rsidP="007630EA">
      <w:pPr>
        <w:pStyle w:val="ListParagraph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ניתן </w:t>
      </w:r>
      <w:r w:rsidR="005845B5">
        <w:rPr>
          <w:rFonts w:cs="David" w:hint="cs"/>
          <w:sz w:val="24"/>
          <w:szCs w:val="24"/>
          <w:rtl/>
        </w:rPr>
        <w:t>להמשיך את ההפרשות הפנסיות</w:t>
      </w:r>
      <w:r>
        <w:rPr>
          <w:rFonts w:cs="David" w:hint="cs"/>
          <w:sz w:val="24"/>
          <w:szCs w:val="24"/>
          <w:rtl/>
        </w:rPr>
        <w:t xml:space="preserve"> באופן עצמאי על ידי הוראת קבע.</w:t>
      </w:r>
    </w:p>
    <w:p w:rsidR="00A01512" w:rsidRDefault="00A01512" w:rsidP="007630EA">
      <w:pPr>
        <w:pStyle w:val="ListParagraph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ניתן לבקש מקרן הפנסיה לבצע פעולה של הורדת ריסק זמני מכספי החיסכון הצבורים.</w:t>
      </w:r>
    </w:p>
    <w:p w:rsidR="00D92C44" w:rsidRDefault="00D92C44" w:rsidP="007630EA">
      <w:pPr>
        <w:spacing w:after="0" w:line="360" w:lineRule="auto"/>
        <w:rPr>
          <w:rFonts w:cs="David"/>
          <w:sz w:val="24"/>
          <w:szCs w:val="24"/>
          <w:rtl/>
        </w:rPr>
      </w:pPr>
    </w:p>
    <w:p w:rsidR="00A01512" w:rsidRDefault="00A01512" w:rsidP="007630EA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בכל מקרה אנו ממליצים לפנות לנציג הפנסיה, אליה הנכם משתייכים </w:t>
      </w:r>
      <w:r w:rsidR="005845B5">
        <w:rPr>
          <w:rFonts w:cs="David" w:hint="cs"/>
          <w:sz w:val="24"/>
          <w:szCs w:val="24"/>
          <w:rtl/>
        </w:rPr>
        <w:t>לקבלת יעוץ.</w:t>
      </w:r>
    </w:p>
    <w:p w:rsidR="005845B5" w:rsidRDefault="005845B5" w:rsidP="007630EA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אנו מבקשים לא להזניח, הנושא חשוב.</w:t>
      </w:r>
    </w:p>
    <w:p w:rsidR="0088104B" w:rsidRDefault="0088104B" w:rsidP="00A01512">
      <w:pPr>
        <w:rPr>
          <w:rFonts w:cs="David"/>
          <w:sz w:val="24"/>
          <w:szCs w:val="24"/>
          <w:rtl/>
        </w:rPr>
      </w:pPr>
    </w:p>
    <w:p w:rsidR="005845B5" w:rsidRPr="007630EA" w:rsidRDefault="005845B5" w:rsidP="00A01512">
      <w:pPr>
        <w:rPr>
          <w:rFonts w:cs="David"/>
          <w:b/>
          <w:bCs/>
          <w:sz w:val="24"/>
          <w:szCs w:val="24"/>
          <w:u w:val="single"/>
          <w:rtl/>
        </w:rPr>
      </w:pPr>
      <w:r w:rsidRPr="007630EA">
        <w:rPr>
          <w:rFonts w:cs="David" w:hint="cs"/>
          <w:b/>
          <w:bCs/>
          <w:sz w:val="24"/>
          <w:szCs w:val="24"/>
          <w:u w:val="single"/>
          <w:rtl/>
        </w:rPr>
        <w:t>להלן פרטי הנציגים</w:t>
      </w:r>
      <w:r w:rsidRPr="007630EA">
        <w:rPr>
          <w:rFonts w:cs="David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8537" w:type="dxa"/>
        <w:tblLook w:val="04A0" w:firstRow="1" w:lastRow="0" w:firstColumn="1" w:lastColumn="0" w:noHBand="0" w:noVBand="1"/>
      </w:tblPr>
      <w:tblGrid>
        <w:gridCol w:w="2845"/>
        <w:gridCol w:w="2846"/>
        <w:gridCol w:w="2846"/>
      </w:tblGrid>
      <w:tr w:rsidR="002906E8" w:rsidTr="007630EA">
        <w:trPr>
          <w:trHeight w:val="336"/>
        </w:trPr>
        <w:tc>
          <w:tcPr>
            <w:tcW w:w="2845" w:type="dxa"/>
          </w:tcPr>
          <w:p w:rsidR="002906E8" w:rsidRPr="002906E8" w:rsidRDefault="002906E8" w:rsidP="002906E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906E8">
              <w:rPr>
                <w:rFonts w:cs="David" w:hint="cs"/>
                <w:b/>
                <w:bCs/>
                <w:sz w:val="24"/>
                <w:szCs w:val="24"/>
                <w:rtl/>
              </w:rPr>
              <w:t>שם הקרן</w:t>
            </w:r>
          </w:p>
        </w:tc>
        <w:tc>
          <w:tcPr>
            <w:tcW w:w="2846" w:type="dxa"/>
          </w:tcPr>
          <w:p w:rsidR="002906E8" w:rsidRPr="002906E8" w:rsidRDefault="002906E8" w:rsidP="002906E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906E8">
              <w:rPr>
                <w:rFonts w:cs="David" w:hint="cs"/>
                <w:b/>
                <w:bCs/>
                <w:sz w:val="24"/>
                <w:szCs w:val="24"/>
                <w:rtl/>
              </w:rPr>
              <w:t>שם הנציג</w:t>
            </w:r>
          </w:p>
        </w:tc>
        <w:tc>
          <w:tcPr>
            <w:tcW w:w="2846" w:type="dxa"/>
          </w:tcPr>
          <w:p w:rsidR="002906E8" w:rsidRPr="002906E8" w:rsidRDefault="002906E8" w:rsidP="002906E8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906E8">
              <w:rPr>
                <w:rFonts w:cs="David" w:hint="cs"/>
                <w:b/>
                <w:bCs/>
                <w:sz w:val="24"/>
                <w:szCs w:val="24"/>
                <w:rtl/>
              </w:rPr>
              <w:t>טלפון</w:t>
            </w:r>
          </w:p>
        </w:tc>
      </w:tr>
      <w:tr w:rsidR="002906E8" w:rsidTr="007630EA">
        <w:trPr>
          <w:trHeight w:val="315"/>
        </w:trPr>
        <w:tc>
          <w:tcPr>
            <w:tcW w:w="2845" w:type="dxa"/>
          </w:tcPr>
          <w:p w:rsidR="002906E8" w:rsidRPr="002906E8" w:rsidRDefault="002906E8" w:rsidP="00A01512">
            <w:pPr>
              <w:rPr>
                <w:rFonts w:cs="David"/>
                <w:sz w:val="24"/>
                <w:szCs w:val="24"/>
                <w:rtl/>
              </w:rPr>
            </w:pPr>
            <w:r w:rsidRPr="002906E8">
              <w:rPr>
                <w:rFonts w:cs="David" w:hint="cs"/>
                <w:sz w:val="24"/>
                <w:szCs w:val="24"/>
                <w:rtl/>
              </w:rPr>
              <w:t>מקפת חדשה (מגדל)</w:t>
            </w:r>
          </w:p>
        </w:tc>
        <w:tc>
          <w:tcPr>
            <w:tcW w:w="2846" w:type="dxa"/>
          </w:tcPr>
          <w:p w:rsidR="002906E8" w:rsidRDefault="002906E8" w:rsidP="00A015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קרן רביע</w:t>
            </w:r>
          </w:p>
        </w:tc>
        <w:tc>
          <w:tcPr>
            <w:tcW w:w="2846" w:type="dxa"/>
          </w:tcPr>
          <w:p w:rsidR="002906E8" w:rsidRDefault="002906E8" w:rsidP="00A015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052-3584611</w:t>
            </w:r>
          </w:p>
        </w:tc>
      </w:tr>
      <w:tr w:rsidR="002906E8" w:rsidTr="007630EA">
        <w:trPr>
          <w:trHeight w:val="336"/>
        </w:trPr>
        <w:tc>
          <w:tcPr>
            <w:tcW w:w="2845" w:type="dxa"/>
          </w:tcPr>
          <w:p w:rsidR="002906E8" w:rsidRPr="00422D4F" w:rsidRDefault="002906E8" w:rsidP="00A01512">
            <w:pPr>
              <w:rPr>
                <w:rFonts w:cs="David"/>
                <w:sz w:val="24"/>
                <w:szCs w:val="24"/>
                <w:rtl/>
              </w:rPr>
            </w:pPr>
            <w:r w:rsidRPr="00422D4F">
              <w:rPr>
                <w:rFonts w:cs="David" w:hint="cs"/>
                <w:sz w:val="24"/>
                <w:szCs w:val="24"/>
                <w:rtl/>
              </w:rPr>
              <w:t xml:space="preserve">מבטחים החדשה  </w:t>
            </w:r>
          </w:p>
        </w:tc>
        <w:tc>
          <w:tcPr>
            <w:tcW w:w="2846" w:type="dxa"/>
          </w:tcPr>
          <w:p w:rsidR="002906E8" w:rsidRPr="00422D4F" w:rsidRDefault="00F87CF2" w:rsidP="00A015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רונן צוקרמן</w:t>
            </w:r>
          </w:p>
        </w:tc>
        <w:tc>
          <w:tcPr>
            <w:tcW w:w="2846" w:type="dxa"/>
          </w:tcPr>
          <w:p w:rsidR="002906E8" w:rsidRDefault="00F87CF2" w:rsidP="00A015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050-4795149</w:t>
            </w:r>
            <w:bookmarkStart w:id="0" w:name="_GoBack"/>
            <w:bookmarkEnd w:id="0"/>
          </w:p>
        </w:tc>
      </w:tr>
      <w:tr w:rsidR="002906E8" w:rsidTr="007630EA">
        <w:trPr>
          <w:trHeight w:val="336"/>
        </w:trPr>
        <w:tc>
          <w:tcPr>
            <w:tcW w:w="2845" w:type="dxa"/>
          </w:tcPr>
          <w:p w:rsidR="002906E8" w:rsidRPr="002906E8" w:rsidRDefault="002906E8" w:rsidP="00A01512">
            <w:pPr>
              <w:rPr>
                <w:rFonts w:cs="David"/>
                <w:sz w:val="24"/>
                <w:szCs w:val="24"/>
                <w:rtl/>
              </w:rPr>
            </w:pPr>
            <w:r w:rsidRPr="002906E8">
              <w:rPr>
                <w:rFonts w:cs="David" w:hint="cs"/>
                <w:sz w:val="24"/>
                <w:szCs w:val="24"/>
                <w:rtl/>
              </w:rPr>
              <w:t>מיטבית עתודות (כלל)</w:t>
            </w:r>
          </w:p>
        </w:tc>
        <w:tc>
          <w:tcPr>
            <w:tcW w:w="2846" w:type="dxa"/>
          </w:tcPr>
          <w:p w:rsidR="002906E8" w:rsidRDefault="00CF36A3" w:rsidP="00A015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יגאל</w:t>
            </w:r>
            <w:r w:rsidR="00422D4F">
              <w:rPr>
                <w:rFonts w:cs="David" w:hint="cs"/>
                <w:sz w:val="24"/>
                <w:szCs w:val="24"/>
                <w:rtl/>
              </w:rPr>
              <w:t xml:space="preserve"> רובין</w:t>
            </w:r>
          </w:p>
        </w:tc>
        <w:tc>
          <w:tcPr>
            <w:tcW w:w="2846" w:type="dxa"/>
          </w:tcPr>
          <w:p w:rsidR="002906E8" w:rsidRPr="00CF36A3" w:rsidRDefault="00CF36A3" w:rsidP="00A01512">
            <w:pPr>
              <w:rPr>
                <w:rFonts w:cs="David"/>
                <w:sz w:val="24"/>
                <w:szCs w:val="24"/>
                <w:rtl/>
              </w:rPr>
            </w:pPr>
            <w:r w:rsidRPr="00CF36A3">
              <w:rPr>
                <w:rFonts w:ascii="Arial" w:hAnsi="Arial" w:cs="David"/>
                <w:sz w:val="24"/>
                <w:szCs w:val="24"/>
                <w:rtl/>
              </w:rPr>
              <w:t>054</w:t>
            </w:r>
            <w:r w:rsidRPr="00CF36A3">
              <w:rPr>
                <w:rFonts w:ascii="Arial" w:hAnsi="Arial" w:cs="David" w:hint="cs"/>
                <w:sz w:val="24"/>
                <w:szCs w:val="24"/>
                <w:rtl/>
              </w:rPr>
              <w:t>-</w:t>
            </w:r>
            <w:r w:rsidRPr="00CF36A3">
              <w:rPr>
                <w:rFonts w:ascii="Arial" w:hAnsi="Arial" w:cs="David"/>
                <w:sz w:val="24"/>
                <w:szCs w:val="24"/>
                <w:rtl/>
              </w:rPr>
              <w:t>4363300</w:t>
            </w:r>
          </w:p>
        </w:tc>
      </w:tr>
      <w:tr w:rsidR="002906E8" w:rsidTr="007630EA">
        <w:trPr>
          <w:trHeight w:val="315"/>
        </w:trPr>
        <w:tc>
          <w:tcPr>
            <w:tcW w:w="2845" w:type="dxa"/>
          </w:tcPr>
          <w:p w:rsidR="002906E8" w:rsidRPr="002906E8" w:rsidRDefault="002906E8" w:rsidP="00A015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הראל</w:t>
            </w:r>
          </w:p>
        </w:tc>
        <w:tc>
          <w:tcPr>
            <w:tcW w:w="2846" w:type="dxa"/>
          </w:tcPr>
          <w:p w:rsidR="002906E8" w:rsidRDefault="002906E8" w:rsidP="00A015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נורית שרם</w:t>
            </w:r>
          </w:p>
        </w:tc>
        <w:tc>
          <w:tcPr>
            <w:tcW w:w="2846" w:type="dxa"/>
          </w:tcPr>
          <w:p w:rsidR="002906E8" w:rsidRDefault="002906E8" w:rsidP="00A015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052-3862419</w:t>
            </w:r>
          </w:p>
        </w:tc>
      </w:tr>
      <w:tr w:rsidR="002906E8" w:rsidTr="007630EA">
        <w:trPr>
          <w:trHeight w:val="357"/>
        </w:trPr>
        <w:tc>
          <w:tcPr>
            <w:tcW w:w="2845" w:type="dxa"/>
          </w:tcPr>
          <w:p w:rsidR="002906E8" w:rsidRDefault="002906E8" w:rsidP="00A015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הלמן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אלדובי</w:t>
            </w:r>
            <w:proofErr w:type="spellEnd"/>
          </w:p>
        </w:tc>
        <w:tc>
          <w:tcPr>
            <w:tcW w:w="2846" w:type="dxa"/>
          </w:tcPr>
          <w:p w:rsidR="002906E8" w:rsidRDefault="002906E8" w:rsidP="00A015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ניר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ינקלביץ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2846" w:type="dxa"/>
          </w:tcPr>
          <w:p w:rsidR="002906E8" w:rsidRDefault="002906E8" w:rsidP="00A0151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052-7771751</w:t>
            </w:r>
          </w:p>
        </w:tc>
      </w:tr>
    </w:tbl>
    <w:p w:rsidR="0088104B" w:rsidRPr="0088104B" w:rsidRDefault="0088104B" w:rsidP="00A01512">
      <w:pPr>
        <w:rPr>
          <w:rFonts w:cs="David"/>
          <w:sz w:val="24"/>
          <w:szCs w:val="24"/>
          <w:rtl/>
        </w:rPr>
      </w:pPr>
    </w:p>
    <w:p w:rsidR="005845B5" w:rsidRDefault="005845B5" w:rsidP="00A01512">
      <w:pPr>
        <w:rPr>
          <w:rFonts w:cs="David"/>
          <w:sz w:val="24"/>
          <w:szCs w:val="24"/>
          <w:rtl/>
        </w:rPr>
      </w:pPr>
    </w:p>
    <w:p w:rsidR="005845B5" w:rsidRDefault="00D51322" w:rsidP="00A01512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בברכה,</w:t>
      </w:r>
    </w:p>
    <w:p w:rsidR="00D51322" w:rsidRPr="00A01512" w:rsidRDefault="00D51322" w:rsidP="00A01512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מדור פרט ופיתוח עובדים</w:t>
      </w:r>
    </w:p>
    <w:sectPr w:rsidR="00D51322" w:rsidRPr="00A01512" w:rsidSect="00C906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C29A6"/>
    <w:multiLevelType w:val="hybridMultilevel"/>
    <w:tmpl w:val="6BCC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12"/>
    <w:rsid w:val="000D34AE"/>
    <w:rsid w:val="002906E8"/>
    <w:rsid w:val="00312BB3"/>
    <w:rsid w:val="00422D4F"/>
    <w:rsid w:val="00501664"/>
    <w:rsid w:val="005845B5"/>
    <w:rsid w:val="0058775C"/>
    <w:rsid w:val="007630EA"/>
    <w:rsid w:val="0088104B"/>
    <w:rsid w:val="00A01512"/>
    <w:rsid w:val="00C9065F"/>
    <w:rsid w:val="00CF36A3"/>
    <w:rsid w:val="00D51322"/>
    <w:rsid w:val="00D92C44"/>
    <w:rsid w:val="00F8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AB6E1-149E-4DAD-964B-5E32B7F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12"/>
    <w:pPr>
      <w:ind w:left="720"/>
      <w:contextualSpacing/>
    </w:pPr>
  </w:style>
  <w:style w:type="table" w:styleId="TableGrid">
    <w:name w:val="Table Grid"/>
    <w:basedOn w:val="TableNormal"/>
    <w:uiPriority w:val="59"/>
    <w:rsid w:val="0029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מרדכי קרן</dc:creator>
  <cp:lastModifiedBy>מרדכי קרן</cp:lastModifiedBy>
  <cp:revision>9</cp:revision>
  <cp:lastPrinted>2013-06-04T07:30:00Z</cp:lastPrinted>
  <dcterms:created xsi:type="dcterms:W3CDTF">2013-06-02T08:39:00Z</dcterms:created>
  <dcterms:modified xsi:type="dcterms:W3CDTF">2014-11-02T06:40:00Z</dcterms:modified>
</cp:coreProperties>
</file>